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7D" w:rsidRDefault="00A36F7D" w:rsidP="00A36F7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Registrácia na očkovanie vakcínami proti</w:t>
      </w: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ochoreniu</w:t>
      </w: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Covid</w:t>
      </w: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-19 adaptovanými na variant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Omikron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- informácia  </w:t>
      </w:r>
      <w:r>
        <w:rPr>
          <w:rFonts w:cstheme="minorHAnsi"/>
          <w:b/>
          <w:sz w:val="28"/>
          <w:szCs w:val="28"/>
        </w:rPr>
        <w:t xml:space="preserve"> </w:t>
      </w:r>
    </w:p>
    <w:p w:rsidR="00A36F7D" w:rsidRDefault="00A36F7D" w:rsidP="00A36F7D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</w:p>
    <w:p w:rsidR="00A36F7D" w:rsidRDefault="00A36F7D" w:rsidP="00A36F7D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 w:rsidRPr="00A36F7D">
          <w:rPr>
            <w:rStyle w:val="Hypertextovprepojenie"/>
            <w:rFonts w:cstheme="minorHAnsi"/>
            <w:bCs/>
            <w:color w:val="auto"/>
            <w:bdr w:val="none" w:sz="0" w:space="0" w:color="auto" w:frame="1"/>
          </w:rPr>
          <w:t>www.health.gov.sk</w:t>
        </w:r>
      </w:hyperlink>
      <w:r w:rsidRPr="00A36F7D"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dňa 20.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>9. 2022 informáciu s nasledovným textom:</w:t>
      </w:r>
    </w:p>
    <w:p w:rsidR="00A36F7D" w:rsidRPr="00A36F7D" w:rsidRDefault="00A36F7D" w:rsidP="00A36F7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 xml:space="preserve"> </w:t>
      </w:r>
      <w:bookmarkStart w:id="0" w:name="_GoBack"/>
      <w:bookmarkEnd w:id="0"/>
    </w:p>
    <w:p w:rsidR="008D37B3" w:rsidRPr="00A36F7D" w:rsidRDefault="00A36F7D" w:rsidP="00A36F7D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 xml:space="preserve"> „</w:t>
      </w:r>
      <w:r w:rsidR="008D37B3"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 xml:space="preserve">Ministerstvo zdravotníctva SR v spolupráci s NCZI  spúšťa registráciu na očkovanie vakcínami proti COVID-19, adaptovanými na variant </w:t>
      </w:r>
      <w:proofErr w:type="spellStart"/>
      <w:r w:rsidR="008D37B3"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>Omikron</w:t>
      </w:r>
      <w:proofErr w:type="spellEnd"/>
      <w:r w:rsidR="008D37B3"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 xml:space="preserve">. Tieto vakcíny je možné podať iba ako posilňujúce (tzv. </w:t>
      </w:r>
      <w:proofErr w:type="spellStart"/>
      <w:r w:rsidR="008D37B3"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>booster</w:t>
      </w:r>
      <w:proofErr w:type="spellEnd"/>
      <w:r w:rsidR="008D37B3" w:rsidRPr="00A36F7D">
        <w:rPr>
          <w:rFonts w:eastAsia="Times New Roman" w:cstheme="minorHAnsi"/>
          <w:bCs/>
          <w:i/>
          <w:bdr w:val="none" w:sz="0" w:space="0" w:color="auto" w:frame="1"/>
          <w:lang w:eastAsia="sk-SK"/>
        </w:rPr>
        <w:t>) dávky. </w:t>
      </w:r>
      <w:r w:rsidR="008D37B3" w:rsidRPr="00A36F7D">
        <w:rPr>
          <w:rFonts w:eastAsia="Times New Roman" w:cstheme="minorHAnsi"/>
          <w:i/>
          <w:lang w:eastAsia="sk-SK"/>
        </w:rPr>
        <w:br/>
      </w:r>
      <w:r w:rsidR="008D37B3" w:rsidRPr="00A36F7D">
        <w:rPr>
          <w:rFonts w:ascii="Arial" w:eastAsia="Times New Roman" w:hAnsi="Arial" w:cs="Arial"/>
          <w:i/>
          <w:sz w:val="18"/>
          <w:szCs w:val="18"/>
          <w:lang w:eastAsia="sk-SK"/>
        </w:rPr>
        <w:t> </w:t>
      </w:r>
      <w:r w:rsidR="008D37B3" w:rsidRPr="00A36F7D"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 w:rsidR="008D37B3" w:rsidRPr="00A36F7D">
        <w:rPr>
          <w:rFonts w:eastAsia="Times New Roman" w:cstheme="minorHAnsi"/>
          <w:i/>
          <w:lang w:eastAsia="sk-SK"/>
        </w:rPr>
        <w:t>Na začiatku septembra schválila Európska lieková agentúra (EMA) upravené verzie pôvodných vakcín proti ochoreniu COVID-19 od spoločností Pfizer-</w:t>
      </w:r>
      <w:proofErr w:type="spellStart"/>
      <w:r w:rsidR="008D37B3" w:rsidRPr="00A36F7D">
        <w:rPr>
          <w:rFonts w:eastAsia="Times New Roman" w:cstheme="minorHAnsi"/>
          <w:i/>
          <w:lang w:eastAsia="sk-SK"/>
        </w:rPr>
        <w:t>BioNTech</w:t>
      </w:r>
      <w:proofErr w:type="spellEnd"/>
      <w:r w:rsidR="008D37B3" w:rsidRPr="00A36F7D">
        <w:rPr>
          <w:rFonts w:eastAsia="Times New Roman" w:cstheme="minorHAnsi"/>
          <w:i/>
          <w:lang w:eastAsia="sk-SK"/>
        </w:rPr>
        <w:t xml:space="preserve"> a Moderna, aby zabezpečili lepšiu ochranu proti aktuálne dominantnému variantu </w:t>
      </w:r>
      <w:proofErr w:type="spellStart"/>
      <w:r w:rsidR="008D37B3" w:rsidRPr="00A36F7D">
        <w:rPr>
          <w:rFonts w:eastAsia="Times New Roman" w:cstheme="minorHAnsi"/>
          <w:i/>
          <w:lang w:eastAsia="sk-SK"/>
        </w:rPr>
        <w:t>omikron</w:t>
      </w:r>
      <w:proofErr w:type="spellEnd"/>
      <w:r w:rsidR="008D37B3" w:rsidRPr="00A36F7D">
        <w:rPr>
          <w:rFonts w:eastAsia="Times New Roman" w:cstheme="minorHAnsi"/>
          <w:i/>
          <w:lang w:eastAsia="sk-SK"/>
        </w:rPr>
        <w:t>. </w:t>
      </w:r>
      <w:r w:rsidR="008D37B3" w:rsidRPr="00A36F7D">
        <w:rPr>
          <w:rFonts w:ascii="Arial" w:eastAsia="Times New Roman" w:hAnsi="Arial" w:cs="Arial"/>
          <w:i/>
          <w:sz w:val="18"/>
          <w:szCs w:val="18"/>
          <w:lang w:eastAsia="sk-SK"/>
        </w:rPr>
        <w:br/>
        <w:t> </w:t>
      </w:r>
      <w:r w:rsidR="008D37B3" w:rsidRPr="00A36F7D"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 w:rsidR="008D37B3" w:rsidRPr="00A36F7D">
        <w:rPr>
          <w:rFonts w:eastAsia="Times New Roman" w:cstheme="minorHAnsi"/>
          <w:i/>
          <w:lang w:eastAsia="sk-SK"/>
        </w:rPr>
        <w:t>Záujemci o očkovanie adaptovanými vakcínami sa môžu zaregistrovať cez stránku korona.gov.sk. Do konca týždňa im budú pridelené termíny podľa dostupných kapacít postupne sa otvárajúcich očkovacích centier.</w:t>
      </w:r>
    </w:p>
    <w:p w:rsidR="00A36F7D" w:rsidRPr="00A36F7D" w:rsidRDefault="00A36F7D" w:rsidP="00A36F7D">
      <w:pPr>
        <w:spacing w:after="0" w:line="270" w:lineRule="atLeast"/>
        <w:textAlignment w:val="baseline"/>
        <w:rPr>
          <w:rFonts w:eastAsia="Times New Roman" w:cstheme="minorHAnsi"/>
          <w:b/>
          <w:bCs/>
          <w:i/>
          <w:bdr w:val="none" w:sz="0" w:space="0" w:color="auto" w:frame="1"/>
          <w:lang w:eastAsia="sk-SK"/>
        </w:rPr>
      </w:pP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 xml:space="preserve">Nové </w:t>
      </w:r>
      <w:proofErr w:type="spellStart"/>
      <w:r w:rsidRPr="00A36F7D">
        <w:rPr>
          <w:rFonts w:eastAsia="Times New Roman" w:cstheme="minorHAnsi"/>
          <w:i/>
          <w:lang w:eastAsia="sk-SK"/>
        </w:rPr>
        <w:t>omikronové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vakcíny nemôžu byť podané ako prvé dávky. Vakcíny sú určené len pre posilňujúce (</w:t>
      </w:r>
      <w:proofErr w:type="spellStart"/>
      <w:r w:rsidRPr="00A36F7D">
        <w:rPr>
          <w:rFonts w:eastAsia="Times New Roman" w:cstheme="minorHAnsi"/>
          <w:i/>
          <w:lang w:eastAsia="sk-SK"/>
        </w:rPr>
        <w:t>booster</w:t>
      </w:r>
      <w:proofErr w:type="spellEnd"/>
      <w:r w:rsidRPr="00A36F7D">
        <w:rPr>
          <w:rFonts w:eastAsia="Times New Roman" w:cstheme="minorHAnsi"/>
          <w:i/>
          <w:lang w:eastAsia="sk-SK"/>
        </w:rPr>
        <w:t>) dávky, to znamená že je možné ich podať iba osobám, ktoré už absolvovali základné očkovanie pôvodnými vakcínami proti COVID-19.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A36F7D">
        <w:rPr>
          <w:rFonts w:ascii="Arial" w:eastAsia="Times New Roman" w:hAnsi="Arial" w:cs="Arial"/>
          <w:i/>
          <w:sz w:val="18"/>
          <w:szCs w:val="18"/>
          <w:lang w:eastAsia="sk-SK"/>
        </w:rPr>
        <w:t> </w:t>
      </w: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 xml:space="preserve">Počas prvého týždňa sa bude očkovať  prostredníctvom registrácie v pätnástich očkovacích centrách (v dvanástich vakcínou </w:t>
      </w:r>
      <w:proofErr w:type="spellStart"/>
      <w:r w:rsidRPr="00A36F7D">
        <w:rPr>
          <w:rFonts w:eastAsia="Times New Roman" w:cstheme="minorHAnsi"/>
          <w:i/>
          <w:lang w:eastAsia="sk-SK"/>
        </w:rPr>
        <w:t>Comirnaty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-Pfizer a v troch vakcínou </w:t>
      </w:r>
      <w:proofErr w:type="spellStart"/>
      <w:r w:rsidRPr="00A36F7D">
        <w:rPr>
          <w:rFonts w:eastAsia="Times New Roman" w:cstheme="minorHAnsi"/>
          <w:i/>
          <w:lang w:eastAsia="sk-SK"/>
        </w:rPr>
        <w:t>Spikevax</w:t>
      </w:r>
      <w:proofErr w:type="spellEnd"/>
      <w:r w:rsidRPr="00A36F7D">
        <w:rPr>
          <w:rFonts w:eastAsia="Times New Roman" w:cstheme="minorHAnsi"/>
          <w:i/>
          <w:lang w:eastAsia="sk-SK"/>
        </w:rPr>
        <w:t>-Moderna, pričom kompletný zoznam centier je uvedený v tabuľke pod textom).</w:t>
      </w: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> </w:t>
      </w: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 xml:space="preserve">Očkovanie </w:t>
      </w:r>
      <w:proofErr w:type="spellStart"/>
      <w:r w:rsidRPr="00A36F7D">
        <w:rPr>
          <w:rFonts w:eastAsia="Times New Roman" w:cstheme="minorHAnsi"/>
          <w:i/>
          <w:lang w:eastAsia="sk-SK"/>
        </w:rPr>
        <w:t>omikronovou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vakcínou </w:t>
      </w:r>
      <w:proofErr w:type="spellStart"/>
      <w:r w:rsidRPr="00A36F7D">
        <w:rPr>
          <w:rFonts w:eastAsia="Times New Roman" w:cstheme="minorHAnsi"/>
          <w:i/>
          <w:lang w:eastAsia="sk-SK"/>
        </w:rPr>
        <w:t>Comirnaty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od spoločností Pfizer-</w:t>
      </w:r>
      <w:proofErr w:type="spellStart"/>
      <w:r w:rsidRPr="00A36F7D">
        <w:rPr>
          <w:rFonts w:eastAsia="Times New Roman" w:cstheme="minorHAnsi"/>
          <w:i/>
          <w:lang w:eastAsia="sk-SK"/>
        </w:rPr>
        <w:t>BioNTech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bude prebiehať vo vakcinačných centrách (najmä v nemocniciach), a tiež aj v ambulanciách lekárov v sieti všeobecných lekárov pre dospelých a všeobecných lekárov pre deti a dorast. Aktuálne však prebieha proces </w:t>
      </w:r>
      <w:proofErr w:type="spellStart"/>
      <w:r w:rsidRPr="00A36F7D">
        <w:rPr>
          <w:rFonts w:eastAsia="Times New Roman" w:cstheme="minorHAnsi"/>
          <w:i/>
          <w:lang w:eastAsia="sk-SK"/>
        </w:rPr>
        <w:t>zazmluvňovania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príslušných subjektov, a teda vakcinačné centrá budú do očkovania zapájané postupne.</w:t>
      </w: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> </w:t>
      </w:r>
    </w:p>
    <w:p w:rsidR="008D37B3" w:rsidRPr="00A36F7D" w:rsidRDefault="008D37B3" w:rsidP="00A36F7D">
      <w:pPr>
        <w:spacing w:after="0" w:line="270" w:lineRule="atLeast"/>
        <w:jc w:val="both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>V prípade, že záujemca zadá pri registrácii preferované očkovacie centrum mimo tých, ktoré sú uvedené v zozname, bude presunutý do tzv. Čakárne a termín v ním zvolenom očkovacom centre mu bude pridelený hneď, ako to bude možné. Ako sme uviedli,  očkovanie v týchto vakcinačných centrách bude spúšťané postupne po splnení všetkých zákonných povinností. Ak teda majú ľudia záujem o čo najskoršie podanie vakcíny, odporúčame im vybrať si pri registrácii spomedzi vymenovaných, resp. ponúkaných  vakcinačných centier.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A36F7D">
        <w:rPr>
          <w:rFonts w:ascii="Arial" w:eastAsia="Times New Roman" w:hAnsi="Arial" w:cs="Arial"/>
          <w:i/>
          <w:sz w:val="18"/>
          <w:szCs w:val="18"/>
          <w:lang w:eastAsia="sk-SK"/>
        </w:rPr>
        <w:t> 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b/>
          <w:bCs/>
          <w:i/>
          <w:bdr w:val="none" w:sz="0" w:space="0" w:color="auto" w:frame="1"/>
          <w:lang w:eastAsia="sk-SK"/>
        </w:rPr>
        <w:t>Adaptované vakcíny môžu byť podané ako prvé alebo druhé posilňujúce dávky:</w:t>
      </w:r>
      <w:r w:rsidRPr="00A36F7D">
        <w:rPr>
          <w:rFonts w:eastAsia="Times New Roman" w:cstheme="minorHAnsi"/>
          <w:i/>
          <w:lang w:eastAsia="sk-SK"/>
        </w:rPr>
        <w:br/>
        <w:t>* osobám starším ako 12 rokov,</w:t>
      </w:r>
      <w:r w:rsidRPr="00A36F7D">
        <w:rPr>
          <w:rFonts w:eastAsia="Times New Roman" w:cstheme="minorHAnsi"/>
          <w:i/>
          <w:lang w:eastAsia="sk-SK"/>
        </w:rPr>
        <w:br/>
        <w:t>* najskôr o 3 mesiace po podaní poslednej dávky,</w:t>
      </w:r>
      <w:r w:rsidRPr="00A36F7D">
        <w:rPr>
          <w:rFonts w:eastAsia="Times New Roman" w:cstheme="minorHAnsi"/>
          <w:i/>
          <w:lang w:eastAsia="sk-SK"/>
        </w:rPr>
        <w:br/>
        <w:t>* osobám, ktoré prekonali ochorenie COVID-19 je možné podať posilňujúcu dávku adaptovanej vakcíny najskôr po 3 mesiacoch od prekonania ochorenia.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A36F7D">
        <w:rPr>
          <w:rFonts w:ascii="Arial" w:eastAsia="Times New Roman" w:hAnsi="Arial" w:cs="Arial"/>
          <w:i/>
          <w:sz w:val="18"/>
          <w:szCs w:val="18"/>
          <w:lang w:eastAsia="sk-SK"/>
        </w:rPr>
        <w:t> 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 xml:space="preserve">Vakcíny sú určené pre zdravú populáciu, ako aj pre rizikové skupiny. Tieto vakcíny je možné podať (kombinovať) po predošlej dávke akejkoľvek vakcíny proti COVID-19 dostupnej v SR vrátane vakcín </w:t>
      </w:r>
      <w:proofErr w:type="spellStart"/>
      <w:r w:rsidRPr="00A36F7D">
        <w:rPr>
          <w:rFonts w:eastAsia="Times New Roman" w:cstheme="minorHAnsi"/>
          <w:i/>
          <w:lang w:eastAsia="sk-SK"/>
        </w:rPr>
        <w:t>Vaxzevria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(AstraZeneca), JCOVDEN (</w:t>
      </w:r>
      <w:proofErr w:type="spellStart"/>
      <w:r w:rsidRPr="00A36F7D">
        <w:rPr>
          <w:rFonts w:eastAsia="Times New Roman" w:cstheme="minorHAnsi"/>
          <w:i/>
          <w:lang w:eastAsia="sk-SK"/>
        </w:rPr>
        <w:t>Janssen</w:t>
      </w:r>
      <w:proofErr w:type="spellEnd"/>
      <w:r w:rsidRPr="00A36F7D">
        <w:rPr>
          <w:rFonts w:eastAsia="Times New Roman" w:cstheme="minorHAnsi"/>
          <w:i/>
          <w:lang w:eastAsia="sk-SK"/>
        </w:rPr>
        <w:t>) alebo Sputnik V.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ascii="Arial" w:eastAsia="Times New Roman" w:hAnsi="Arial" w:cs="Arial"/>
          <w:i/>
          <w:sz w:val="18"/>
          <w:szCs w:val="18"/>
          <w:lang w:eastAsia="sk-SK"/>
        </w:rPr>
        <w:lastRenderedPageBreak/>
        <w:br/>
      </w:r>
      <w:r w:rsidRPr="00A36F7D">
        <w:rPr>
          <w:rFonts w:eastAsia="Times New Roman" w:cstheme="minorHAnsi"/>
          <w:i/>
          <w:lang w:eastAsia="sk-SK"/>
        </w:rPr>
        <w:t>Podrobnosti o všetkých vakcínach sú zverejnené na webe ŠÚKL: </w:t>
      </w:r>
      <w:hyperlink r:id="rId5" w:history="1">
        <w:r w:rsidRPr="00A36F7D">
          <w:rPr>
            <w:rFonts w:eastAsia="Times New Roman" w:cstheme="minorHAnsi"/>
            <w:i/>
            <w:u w:val="single"/>
            <w:bdr w:val="none" w:sz="0" w:space="0" w:color="auto" w:frame="1"/>
            <w:lang w:eastAsia="sk-SK"/>
          </w:rPr>
          <w:t>https://www.sukl.sk/hlavna-stranka/slovenska-verzia/bezpenos-liekov/vakciny/vakciny-proti-covid-19?page_id=5497</w:t>
        </w:r>
      </w:hyperlink>
      <w:r w:rsidRPr="00A36F7D">
        <w:rPr>
          <w:rFonts w:eastAsia="Times New Roman" w:cstheme="minorHAnsi"/>
          <w:i/>
          <w:lang w:eastAsia="sk-SK"/>
        </w:rPr>
        <w:br/>
        <w:t>Otázky a odpovede k novým upraveným vakcínam: </w:t>
      </w:r>
      <w:hyperlink r:id="rId6" w:history="1">
        <w:r w:rsidRPr="00A36F7D">
          <w:rPr>
            <w:rFonts w:eastAsia="Times New Roman" w:cstheme="minorHAnsi"/>
            <w:i/>
            <w:u w:val="single"/>
            <w:bdr w:val="none" w:sz="0" w:space="0" w:color="auto" w:frame="1"/>
            <w:lang w:eastAsia="sk-SK"/>
          </w:rPr>
          <w:t>https://www.sukl.sk/hlavna-stranka/slovenska-verzia/media/tlacove-spravy/aktualizovane-otazky-a-odpovede-k-druhej-posilnujucej-davke-proti-covid-19-a-upravenym-vakcinam?page_id=5963</w:t>
        </w:r>
      </w:hyperlink>
    </w:p>
    <w:p w:rsidR="008D37B3" w:rsidRPr="00A36F7D" w:rsidRDefault="008D37B3" w:rsidP="008D37B3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r w:rsidRPr="00A36F7D">
        <w:rPr>
          <w:rFonts w:eastAsia="Times New Roman" w:cstheme="minorHAnsi"/>
          <w:i/>
          <w:lang w:eastAsia="sk-SK"/>
        </w:rPr>
        <w:t> 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eastAsia="Times New Roman" w:cstheme="minorHAnsi"/>
          <w:i/>
          <w:lang w:eastAsia="sk-SK"/>
        </w:rPr>
      </w:pPr>
      <w:proofErr w:type="spellStart"/>
      <w:r w:rsidRPr="00A36F7D">
        <w:rPr>
          <w:rFonts w:eastAsia="Times New Roman" w:cstheme="minorHAnsi"/>
          <w:i/>
          <w:lang w:eastAsia="sk-SK"/>
        </w:rPr>
        <w:t>Omikron</w:t>
      </w:r>
      <w:proofErr w:type="spellEnd"/>
      <w:r w:rsidRPr="00A36F7D">
        <w:rPr>
          <w:rFonts w:eastAsia="Times New Roman" w:cstheme="minorHAnsi"/>
          <w:i/>
          <w:lang w:eastAsia="sk-SK"/>
        </w:rPr>
        <w:t xml:space="preserve"> očkovacie </w:t>
      </w:r>
      <w:proofErr w:type="spellStart"/>
      <w:r w:rsidRPr="00A36F7D">
        <w:rPr>
          <w:rFonts w:eastAsia="Times New Roman" w:cstheme="minorHAnsi"/>
          <w:i/>
          <w:lang w:eastAsia="sk-SK"/>
        </w:rPr>
        <w:t>centrá:</w:t>
      </w:r>
      <w:hyperlink r:id="rId7" w:history="1">
        <w:r w:rsidRPr="00A36F7D">
          <w:rPr>
            <w:rFonts w:eastAsia="Times New Roman" w:cstheme="minorHAnsi"/>
            <w:i/>
            <w:u w:val="single"/>
            <w:bdr w:val="none" w:sz="0" w:space="0" w:color="auto" w:frame="1"/>
            <w:lang w:eastAsia="sk-SK"/>
          </w:rPr>
          <w:t>https</w:t>
        </w:r>
        <w:proofErr w:type="spellEnd"/>
        <w:r w:rsidRPr="00A36F7D">
          <w:rPr>
            <w:rFonts w:eastAsia="Times New Roman" w:cstheme="minorHAnsi"/>
            <w:i/>
            <w:u w:val="single"/>
            <w:bdr w:val="none" w:sz="0" w:space="0" w:color="auto" w:frame="1"/>
            <w:lang w:eastAsia="sk-SK"/>
          </w:rPr>
          <w:t>://www.health.gov.sk/?</w:t>
        </w:r>
        <w:proofErr w:type="spellStart"/>
        <w:r w:rsidRPr="00A36F7D">
          <w:rPr>
            <w:rFonts w:eastAsia="Times New Roman" w:cstheme="minorHAnsi"/>
            <w:i/>
            <w:u w:val="single"/>
            <w:bdr w:val="none" w:sz="0" w:space="0" w:color="auto" w:frame="1"/>
            <w:lang w:eastAsia="sk-SK"/>
          </w:rPr>
          <w:t>Ockovanie-Omikron</w:t>
        </w:r>
        <w:proofErr w:type="spellEnd"/>
      </w:hyperlink>
      <w:r w:rsidR="00A36F7D">
        <w:rPr>
          <w:rFonts w:eastAsia="Times New Roman" w:cstheme="minorHAnsi"/>
          <w:i/>
          <w:u w:val="single"/>
          <w:bdr w:val="none" w:sz="0" w:space="0" w:color="auto" w:frame="1"/>
          <w:lang w:eastAsia="sk-SK"/>
        </w:rPr>
        <w:t>“.</w:t>
      </w:r>
    </w:p>
    <w:p w:rsidR="008D37B3" w:rsidRPr="00A36F7D" w:rsidRDefault="008D37B3" w:rsidP="008D37B3">
      <w:pPr>
        <w:spacing w:after="0" w:line="270" w:lineRule="atLeast"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8D37B3" w:rsidRPr="008D37B3" w:rsidRDefault="008D37B3" w:rsidP="008D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F7D"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</w:p>
    <w:p w:rsidR="006C7451" w:rsidRPr="00A36F7D" w:rsidRDefault="00A36F7D" w:rsidP="00A36F7D">
      <w:r>
        <w:t xml:space="preserve">Zdroj: </w:t>
      </w:r>
      <w:hyperlink r:id="rId8" w:history="1">
        <w:r w:rsidRPr="00A36F7D">
          <w:rPr>
            <w:rStyle w:val="Hypertextovprepojenie"/>
            <w:rFonts w:cstheme="minorHAnsi"/>
            <w:bCs/>
            <w:color w:val="auto"/>
            <w:bdr w:val="none" w:sz="0" w:space="0" w:color="auto" w:frame="1"/>
          </w:rPr>
          <w:t>www.health.gov.sk</w:t>
        </w:r>
      </w:hyperlink>
      <w:r w:rsidRPr="00A36F7D">
        <w:t xml:space="preserve"> </w:t>
      </w:r>
    </w:p>
    <w:sectPr w:rsidR="006C7451" w:rsidRPr="00A3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3"/>
    <w:rsid w:val="006C7451"/>
    <w:rsid w:val="008D37B3"/>
    <w:rsid w:val="00A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7A51"/>
  <w15:chartTrackingRefBased/>
  <w15:docId w15:val="{23643E86-046A-44A7-A06C-2ADEB5D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D37B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D37B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.sk/?Ockovanie-Omikro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kl.sk/hlavna-stranka/slovenska-verzia/media/tlacove-spravy/aktualizovane-otazky-a-odpovede-k-druhej-posilnujucej-davke-proti-covid-19-a-upravenym-vakcinam?page_id=596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sukl.sk/hlavna-stranka/slovenska-verzia/bezpenos-liekov/vakciny/vakciny-proti-covid-19?page_id=54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alth.gov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6" ma:contentTypeDescription="Umožňuje vytvoriť nový dokument." ma:contentTypeScope="" ma:versionID="1a17c686abbaf11547c0797a3b3005df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f140a0f5859cf009f6ff76fe1bd4f62b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b5a6f3d3-bf06-4a19-bf5a-503d175a0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2be46-ff5e-48df-bbdf-e3c87d419b79}" ma:internalName="TaxCatchAll" ma:showField="CatchAllData" ma:web="c571e82a-11d7-41e3-83ec-27285d78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25144-5F8D-4D99-8210-2E7DBCA1A768}"/>
</file>

<file path=customXml/itemProps2.xml><?xml version="1.0" encoding="utf-8"?>
<ds:datastoreItem xmlns:ds="http://schemas.openxmlformats.org/officeDocument/2006/customXml" ds:itemID="{30903F41-0CD8-466C-BE76-78D5BF047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2022-09-22T13:36:00Z</dcterms:created>
  <dcterms:modified xsi:type="dcterms:W3CDTF">2022-09-22T13:36:00Z</dcterms:modified>
</cp:coreProperties>
</file>